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1968A" w14:textId="77777777" w:rsidR="00304B03" w:rsidRDefault="00304B03" w:rsidP="0093418D">
      <w:pPr>
        <w:pStyle w:val="Headline"/>
      </w:pPr>
      <w:bookmarkStart w:id="0" w:name="_GoBack"/>
      <w:bookmarkEnd w:id="0"/>
    </w:p>
    <w:p w14:paraId="0D76604D" w14:textId="77777777" w:rsidR="00304B03" w:rsidRDefault="00304B03" w:rsidP="0093418D">
      <w:pPr>
        <w:pStyle w:val="Headline"/>
      </w:pPr>
    </w:p>
    <w:p w14:paraId="2FA26D08" w14:textId="77777777" w:rsidR="00304B03" w:rsidRDefault="00304B03" w:rsidP="0093418D">
      <w:pPr>
        <w:pStyle w:val="Headline"/>
      </w:pPr>
    </w:p>
    <w:p w14:paraId="06DCFA24" w14:textId="77777777" w:rsidR="00304B03" w:rsidRDefault="00304B03" w:rsidP="0093418D">
      <w:pPr>
        <w:pStyle w:val="Headline"/>
      </w:pPr>
    </w:p>
    <w:p w14:paraId="64F7E67D" w14:textId="77777777" w:rsidR="00304B03" w:rsidRDefault="00304B03" w:rsidP="0093418D">
      <w:pPr>
        <w:pStyle w:val="Headline"/>
      </w:pPr>
    </w:p>
    <w:p w14:paraId="0B80C179" w14:textId="78A9F930" w:rsidR="0093418D" w:rsidRPr="0017774B" w:rsidRDefault="00BB3EBA" w:rsidP="0093418D">
      <w:pPr>
        <w:pStyle w:val="Headline"/>
      </w:pPr>
      <w:r w:rsidRPr="0017774B">
        <w:t>XP</w:t>
      </w:r>
      <w:r w:rsidRPr="0017774B">
        <w:rPr>
          <w:vertAlign w:val="superscript"/>
        </w:rPr>
        <w:t>+</w:t>
      </w:r>
      <w:r w:rsidRPr="0017774B">
        <w:t xml:space="preserve"> HIGH TORQUE: “Xtreme” Performance für</w:t>
      </w:r>
      <w:r w:rsidR="0019670C" w:rsidRPr="0017774B">
        <w:t xml:space="preserve"> Premium-Antriebsachsen</w:t>
      </w:r>
    </w:p>
    <w:p w14:paraId="658B0709" w14:textId="77777777" w:rsidR="0093418D" w:rsidRPr="0017774B" w:rsidRDefault="0093418D" w:rsidP="0093418D">
      <w:pPr>
        <w:pStyle w:val="Subheadline"/>
      </w:pPr>
    </w:p>
    <w:p w14:paraId="2199DA6F" w14:textId="5BAD150B" w:rsidR="0093418D" w:rsidRPr="0017774B" w:rsidRDefault="00FB2EB9" w:rsidP="0093418D">
      <w:pPr>
        <w:pStyle w:val="Subheadline"/>
      </w:pPr>
      <w:r>
        <w:t>Neues Planetengetriebe kombiniert h</w:t>
      </w:r>
      <w:r w:rsidR="0019670C" w:rsidRPr="0017774B">
        <w:t>öchste Leistungsdichte</w:t>
      </w:r>
      <w:r>
        <w:t xml:space="preserve"> </w:t>
      </w:r>
      <w:r w:rsidR="0019670C" w:rsidRPr="0017774B">
        <w:t>mit Industrie-4.0-Konnektivität</w:t>
      </w:r>
    </w:p>
    <w:p w14:paraId="265D98F6" w14:textId="77777777" w:rsidR="0093418D" w:rsidRPr="0017774B" w:rsidRDefault="0093418D" w:rsidP="00DC5E12">
      <w:pPr>
        <w:pStyle w:val="Flietext"/>
      </w:pPr>
    </w:p>
    <w:p w14:paraId="6FC1D787" w14:textId="77777777" w:rsidR="0093418D" w:rsidRPr="0017774B" w:rsidRDefault="0093418D" w:rsidP="00DC5E12">
      <w:pPr>
        <w:pStyle w:val="Flietext"/>
      </w:pPr>
    </w:p>
    <w:p w14:paraId="37ACF6E7" w14:textId="76F92076" w:rsidR="00BE5249" w:rsidRDefault="0019670C" w:rsidP="00DC5E12">
      <w:pPr>
        <w:pStyle w:val="Flietext"/>
        <w:rPr>
          <w:b/>
          <w:bCs/>
          <w:iCs/>
        </w:rPr>
      </w:pPr>
      <w:r>
        <w:rPr>
          <w:b/>
          <w:bCs/>
        </w:rPr>
        <w:t>Das neue Planetengetriebe XP</w:t>
      </w:r>
      <w:r w:rsidRPr="0019670C">
        <w:rPr>
          <w:b/>
          <w:bCs/>
          <w:vertAlign w:val="superscript"/>
        </w:rPr>
        <w:t>+</w:t>
      </w:r>
      <w:r>
        <w:rPr>
          <w:b/>
          <w:bCs/>
        </w:rPr>
        <w:t xml:space="preserve"> HIGH TO</w:t>
      </w:r>
      <w:r w:rsidR="001D0FA5">
        <w:rPr>
          <w:b/>
          <w:bCs/>
        </w:rPr>
        <w:t xml:space="preserve">RQUE der alpha Premium line der </w:t>
      </w:r>
      <w:r>
        <w:rPr>
          <w:b/>
          <w:bCs/>
        </w:rPr>
        <w:t xml:space="preserve">WITTENSTEIN </w:t>
      </w:r>
      <w:r w:rsidRPr="004F6B4B">
        <w:rPr>
          <w:b/>
          <w:bCs/>
        </w:rPr>
        <w:t>alpha</w:t>
      </w:r>
      <w:r w:rsidR="00FE60B8" w:rsidRPr="004F6B4B">
        <w:rPr>
          <w:b/>
          <w:bCs/>
        </w:rPr>
        <w:t xml:space="preserve"> </w:t>
      </w:r>
      <w:r w:rsidR="001D0FA5">
        <w:rPr>
          <w:b/>
          <w:bCs/>
        </w:rPr>
        <w:t xml:space="preserve">GmbH </w:t>
      </w:r>
      <w:r w:rsidR="00FE60B8" w:rsidRPr="004F6B4B">
        <w:rPr>
          <w:b/>
          <w:bCs/>
        </w:rPr>
        <w:t>ist aktuell das Planetengetriebe mit der höchsten Drehmomentdichte und Verdrehsteifigkeit am Markt.</w:t>
      </w:r>
      <w:r w:rsidR="004F6B4B">
        <w:rPr>
          <w:b/>
          <w:bCs/>
        </w:rPr>
        <w:t xml:space="preserve"> </w:t>
      </w:r>
      <w:r w:rsidR="003742EF">
        <w:rPr>
          <w:b/>
          <w:bCs/>
        </w:rPr>
        <w:t>Dies belegen</w:t>
      </w:r>
      <w:r>
        <w:rPr>
          <w:b/>
          <w:bCs/>
        </w:rPr>
        <w:t xml:space="preserve"> beeindruckende Verbesserungen: </w:t>
      </w:r>
      <w:r w:rsidRPr="006438ED">
        <w:rPr>
          <w:b/>
          <w:bCs/>
          <w:iCs/>
        </w:rPr>
        <w:t>bis zu 144</w:t>
      </w:r>
      <w:r w:rsidR="004F6B4B">
        <w:rPr>
          <w:b/>
          <w:bCs/>
          <w:iCs/>
        </w:rPr>
        <w:t> </w:t>
      </w:r>
      <w:r w:rsidRPr="006438ED">
        <w:rPr>
          <w:b/>
          <w:bCs/>
          <w:iCs/>
        </w:rPr>
        <w:t xml:space="preserve">Prozent mehr Drehmomentdichte als das zweitbeste Planetengetriebe seiner Art im Markt, verdoppelte Verdrehsteifigkeit, </w:t>
      </w:r>
      <w:r w:rsidR="00B626E9" w:rsidRPr="006438ED">
        <w:rPr>
          <w:b/>
          <w:bCs/>
          <w:iCs/>
        </w:rPr>
        <w:t>um den Faktor</w:t>
      </w:r>
      <w:r w:rsidR="00B626E9">
        <w:rPr>
          <w:b/>
          <w:bCs/>
          <w:iCs/>
        </w:rPr>
        <w:t> </w:t>
      </w:r>
      <w:r w:rsidR="00B626E9" w:rsidRPr="006438ED">
        <w:rPr>
          <w:b/>
          <w:bCs/>
          <w:iCs/>
        </w:rPr>
        <w:t>2,5 verbesserte Kippmomentkapazität sowie</w:t>
      </w:r>
      <w:r w:rsidR="00B626E9">
        <w:rPr>
          <w:b/>
          <w:bCs/>
          <w:iCs/>
        </w:rPr>
        <w:t xml:space="preserve"> bei vergleichbarer Baugröße 15 Prozent weniger Baulänge oder bei vergleichbarer Leistung 30 Prozent weniger Baulänge und 50 Prozent weniger Gewicht.</w:t>
      </w:r>
    </w:p>
    <w:p w14:paraId="395D28EB" w14:textId="77777777" w:rsidR="00BE5249" w:rsidRDefault="00BE5249" w:rsidP="00DC5E12">
      <w:pPr>
        <w:pStyle w:val="Flietext"/>
        <w:rPr>
          <w:b/>
          <w:bCs/>
          <w:iCs/>
        </w:rPr>
      </w:pPr>
    </w:p>
    <w:p w14:paraId="545BC739" w14:textId="174632FB" w:rsidR="0019670C" w:rsidRPr="00BE5249" w:rsidRDefault="004F6B4B" w:rsidP="00DC5E12">
      <w:pPr>
        <w:pStyle w:val="Flietext"/>
        <w:rPr>
          <w:bCs/>
        </w:rPr>
      </w:pPr>
      <w:r w:rsidRPr="00BE5249">
        <w:rPr>
          <w:bCs/>
          <w:iCs/>
        </w:rPr>
        <w:t xml:space="preserve">Damit steht </w:t>
      </w:r>
      <w:r w:rsidR="003742EF" w:rsidRPr="00BE5249">
        <w:rPr>
          <w:bCs/>
          <w:iCs/>
        </w:rPr>
        <w:t xml:space="preserve">das </w:t>
      </w:r>
      <w:r w:rsidR="003742EF" w:rsidRPr="00BE5249">
        <w:rPr>
          <w:bCs/>
        </w:rPr>
        <w:t>XP</w:t>
      </w:r>
      <w:r w:rsidR="003742EF" w:rsidRPr="00BE5249">
        <w:rPr>
          <w:bCs/>
          <w:vertAlign w:val="superscript"/>
        </w:rPr>
        <w:t>+</w:t>
      </w:r>
      <w:r w:rsidR="003742EF" w:rsidRPr="00BE5249">
        <w:rPr>
          <w:bCs/>
        </w:rPr>
        <w:t xml:space="preserve"> HIGH TORQUE</w:t>
      </w:r>
      <w:r w:rsidRPr="00BE5249">
        <w:rPr>
          <w:bCs/>
        </w:rPr>
        <w:t xml:space="preserve"> für konsequente Performancesteigerung und platzsparendes Downsizing. </w:t>
      </w:r>
      <w:r w:rsidR="006438ED" w:rsidRPr="00BE5249">
        <w:rPr>
          <w:bCs/>
          <w:iCs/>
        </w:rPr>
        <w:t>Zudem ermöglicht das Getriebe durch cynapse – ein integrierbares Sensormodul mit Datenauswertelogik und</w:t>
      </w:r>
      <w:r w:rsidR="001D0FA5">
        <w:rPr>
          <w:bCs/>
          <w:iCs/>
        </w:rPr>
        <w:t xml:space="preserve"> der</w:t>
      </w:r>
      <w:r w:rsidR="00B626E9">
        <w:rPr>
          <w:bCs/>
          <w:iCs/>
        </w:rPr>
        <w:t xml:space="preserve"> </w:t>
      </w:r>
      <w:r w:rsidR="0020248E" w:rsidRPr="0020248E">
        <w:rPr>
          <w:bCs/>
          <w:iCs/>
          <w:color w:val="auto"/>
        </w:rPr>
        <w:t>Kommunikationsschnittstelle</w:t>
      </w:r>
      <w:r w:rsidR="006438ED" w:rsidRPr="00B626E9">
        <w:rPr>
          <w:bCs/>
          <w:iCs/>
          <w:color w:val="FF0000"/>
        </w:rPr>
        <w:t xml:space="preserve"> </w:t>
      </w:r>
      <w:r w:rsidR="006438ED" w:rsidRPr="00BE5249">
        <w:rPr>
          <w:bCs/>
          <w:iCs/>
        </w:rPr>
        <w:t>IO-Link</w:t>
      </w:r>
      <w:r w:rsidR="00B626E9">
        <w:rPr>
          <w:bCs/>
          <w:iCs/>
        </w:rPr>
        <w:t xml:space="preserve"> </w:t>
      </w:r>
      <w:r w:rsidR="006438ED" w:rsidRPr="00BE5249">
        <w:rPr>
          <w:bCs/>
          <w:iCs/>
        </w:rPr>
        <w:t>–  eine zukunftssichere Anbindung in digitalisierte Antriebsachsen und Maschinen.</w:t>
      </w:r>
    </w:p>
    <w:p w14:paraId="1DAB32CF" w14:textId="0F956DB3" w:rsidR="0093418D" w:rsidRPr="0017774B" w:rsidRDefault="0093418D" w:rsidP="00BB3EBA">
      <w:pPr>
        <w:pStyle w:val="Flietext"/>
      </w:pPr>
    </w:p>
    <w:p w14:paraId="4BC8E778" w14:textId="01FF085B" w:rsidR="0093418D" w:rsidRPr="00056D15" w:rsidRDefault="006438ED" w:rsidP="006438ED">
      <w:pPr>
        <w:pStyle w:val="Flietext"/>
      </w:pPr>
      <w:r w:rsidRPr="00056D15">
        <w:t>Insbesondere Werkzeugmaschinen, Verpackungsanlagen sowie die automatisierte Handhabungstechnik und der Sondermaschinenbau profitieren von den Leistungsmerkmalen des neuen Premium-Getriebes</w:t>
      </w:r>
      <w:r w:rsidR="00BE5249">
        <w:t xml:space="preserve"> aus dem Hause WITTENSTEIN</w:t>
      </w:r>
      <w:r w:rsidRPr="00056D15">
        <w:t>. Es ist die erste Wahl in Applikationen,</w:t>
      </w:r>
    </w:p>
    <w:p w14:paraId="6C4CD416" w14:textId="5A714075" w:rsidR="006438ED" w:rsidRPr="00056D15" w:rsidRDefault="006438ED" w:rsidP="00DC5E12">
      <w:pPr>
        <w:pStyle w:val="Flietext"/>
      </w:pPr>
    </w:p>
    <w:p w14:paraId="4036F5AE" w14:textId="7E2C3748" w:rsidR="006438ED" w:rsidRPr="00056D15" w:rsidRDefault="003742EF" w:rsidP="006438ED">
      <w:pPr>
        <w:pStyle w:val="Listenabsatz"/>
        <w:numPr>
          <w:ilvl w:val="0"/>
          <w:numId w:val="29"/>
        </w:numPr>
        <w:spacing w:line="260" w:lineRule="exact"/>
        <w:ind w:left="357" w:hanging="357"/>
        <w:rPr>
          <w:rFonts w:ascii="Arial" w:hAnsi="Arial" w:cs="Arial"/>
          <w:spacing w:val="10"/>
          <w:sz w:val="20"/>
          <w:szCs w:val="20"/>
        </w:rPr>
      </w:pPr>
      <w:r>
        <w:rPr>
          <w:rFonts w:ascii="Arial" w:hAnsi="Arial" w:cs="Arial"/>
          <w:spacing w:val="10"/>
          <w:sz w:val="20"/>
          <w:szCs w:val="20"/>
        </w:rPr>
        <w:t xml:space="preserve">die </w:t>
      </w:r>
      <w:r w:rsidR="006438ED" w:rsidRPr="00056D15">
        <w:rPr>
          <w:rFonts w:ascii="Arial" w:hAnsi="Arial" w:cs="Arial"/>
          <w:spacing w:val="10"/>
          <w:sz w:val="20"/>
          <w:szCs w:val="20"/>
        </w:rPr>
        <w:t>höchste Positionier- und Wiederholgenauigkeit erfordern</w:t>
      </w:r>
      <w:r w:rsidR="00E645E8">
        <w:rPr>
          <w:rFonts w:ascii="Arial" w:hAnsi="Arial" w:cs="Arial"/>
          <w:spacing w:val="10"/>
          <w:sz w:val="20"/>
          <w:szCs w:val="20"/>
        </w:rPr>
        <w:t>,</w:t>
      </w:r>
      <w:r w:rsidR="006438ED" w:rsidRPr="00056D15">
        <w:rPr>
          <w:rFonts w:ascii="Arial" w:hAnsi="Arial" w:cs="Arial"/>
          <w:spacing w:val="10"/>
          <w:sz w:val="20"/>
          <w:szCs w:val="20"/>
        </w:rPr>
        <w:t xml:space="preserve"> </w:t>
      </w:r>
    </w:p>
    <w:p w14:paraId="177BF924" w14:textId="6A07639D" w:rsidR="006438ED" w:rsidRPr="00056D15" w:rsidRDefault="003742EF" w:rsidP="006438ED">
      <w:pPr>
        <w:pStyle w:val="Listenabsatz"/>
        <w:numPr>
          <w:ilvl w:val="0"/>
          <w:numId w:val="29"/>
        </w:numPr>
        <w:spacing w:line="260" w:lineRule="exact"/>
        <w:ind w:left="357" w:hanging="357"/>
        <w:rPr>
          <w:rFonts w:ascii="Arial" w:hAnsi="Arial" w:cs="Arial"/>
          <w:spacing w:val="10"/>
          <w:sz w:val="20"/>
          <w:szCs w:val="20"/>
        </w:rPr>
      </w:pPr>
      <w:r>
        <w:rPr>
          <w:rFonts w:ascii="Arial" w:hAnsi="Arial" w:cs="Arial"/>
          <w:spacing w:val="10"/>
          <w:sz w:val="20"/>
          <w:szCs w:val="20"/>
        </w:rPr>
        <w:t xml:space="preserve">die </w:t>
      </w:r>
      <w:r w:rsidR="006438ED" w:rsidRPr="00056D15">
        <w:rPr>
          <w:rFonts w:ascii="Arial" w:hAnsi="Arial" w:cs="Arial"/>
          <w:spacing w:val="10"/>
          <w:sz w:val="20"/>
          <w:szCs w:val="20"/>
        </w:rPr>
        <w:t>durch häufige Wechsel der Drehrichtungen gekennzeichnet sind</w:t>
      </w:r>
      <w:r w:rsidR="00E645E8">
        <w:rPr>
          <w:rFonts w:ascii="Arial" w:hAnsi="Arial" w:cs="Arial"/>
          <w:spacing w:val="10"/>
          <w:sz w:val="20"/>
          <w:szCs w:val="20"/>
        </w:rPr>
        <w:t>,</w:t>
      </w:r>
    </w:p>
    <w:p w14:paraId="0A11A742" w14:textId="77777777" w:rsidR="006438ED" w:rsidRPr="00056D15" w:rsidRDefault="006438ED" w:rsidP="006438ED">
      <w:pPr>
        <w:pStyle w:val="Listenabsatz"/>
        <w:numPr>
          <w:ilvl w:val="0"/>
          <w:numId w:val="29"/>
        </w:numPr>
        <w:spacing w:line="260" w:lineRule="exact"/>
        <w:ind w:left="357" w:hanging="357"/>
        <w:rPr>
          <w:rFonts w:ascii="Arial" w:hAnsi="Arial" w:cs="Arial"/>
          <w:spacing w:val="10"/>
          <w:sz w:val="20"/>
          <w:szCs w:val="20"/>
        </w:rPr>
      </w:pPr>
      <w:r w:rsidRPr="00056D15">
        <w:rPr>
          <w:rFonts w:ascii="Arial" w:hAnsi="Arial" w:cs="Arial"/>
          <w:spacing w:val="10"/>
          <w:sz w:val="20"/>
          <w:szCs w:val="20"/>
        </w:rPr>
        <w:t>in denen kürzeste Zykluszeiten erreicht werden sollen und</w:t>
      </w:r>
    </w:p>
    <w:p w14:paraId="624A45E6" w14:textId="7599522B" w:rsidR="006438ED" w:rsidRPr="00056D15" w:rsidRDefault="00056D15" w:rsidP="006438ED">
      <w:pPr>
        <w:pStyle w:val="Listenabsatz"/>
        <w:numPr>
          <w:ilvl w:val="0"/>
          <w:numId w:val="29"/>
        </w:numPr>
        <w:spacing w:line="260" w:lineRule="exact"/>
        <w:ind w:left="357" w:hanging="357"/>
        <w:rPr>
          <w:rFonts w:ascii="Arial" w:hAnsi="Arial" w:cs="Arial"/>
          <w:spacing w:val="10"/>
          <w:sz w:val="20"/>
          <w:szCs w:val="20"/>
        </w:rPr>
      </w:pPr>
      <w:r w:rsidRPr="00056D15">
        <w:rPr>
          <w:rFonts w:ascii="Arial" w:hAnsi="Arial" w:cs="Arial"/>
          <w:spacing w:val="10"/>
          <w:sz w:val="20"/>
          <w:szCs w:val="20"/>
        </w:rPr>
        <w:t>in denen es auf</w:t>
      </w:r>
      <w:r w:rsidR="006438ED" w:rsidRPr="00056D15">
        <w:rPr>
          <w:rFonts w:ascii="Arial" w:hAnsi="Arial" w:cs="Arial"/>
          <w:spacing w:val="10"/>
          <w:sz w:val="20"/>
          <w:szCs w:val="20"/>
        </w:rPr>
        <w:t xml:space="preserve"> eine maximal kompakte und platzsparende Bauform des Getriebes </w:t>
      </w:r>
      <w:r w:rsidRPr="00056D15">
        <w:rPr>
          <w:rFonts w:ascii="Arial" w:hAnsi="Arial" w:cs="Arial"/>
          <w:spacing w:val="10"/>
          <w:sz w:val="20"/>
          <w:szCs w:val="20"/>
        </w:rPr>
        <w:t>ankommt</w:t>
      </w:r>
      <w:r w:rsidR="006438ED" w:rsidRPr="00056D15">
        <w:rPr>
          <w:rFonts w:ascii="Arial" w:hAnsi="Arial" w:cs="Arial"/>
          <w:spacing w:val="10"/>
          <w:sz w:val="20"/>
          <w:szCs w:val="20"/>
        </w:rPr>
        <w:t xml:space="preserve">. </w:t>
      </w:r>
    </w:p>
    <w:p w14:paraId="15F244BE" w14:textId="0F6D91F0" w:rsidR="00056D15" w:rsidRPr="00056D15" w:rsidRDefault="00056D15" w:rsidP="00056D15">
      <w:pPr>
        <w:spacing w:line="260" w:lineRule="exact"/>
        <w:rPr>
          <w:rFonts w:ascii="Arial" w:hAnsi="Arial" w:cs="Arial"/>
          <w:spacing w:val="10"/>
          <w:sz w:val="20"/>
          <w:szCs w:val="20"/>
        </w:rPr>
      </w:pPr>
    </w:p>
    <w:p w14:paraId="79846512" w14:textId="3DD9D121" w:rsidR="00056D15" w:rsidRPr="00056D15" w:rsidRDefault="00056D15" w:rsidP="00056D15">
      <w:pPr>
        <w:spacing w:line="260" w:lineRule="exact"/>
        <w:rPr>
          <w:rFonts w:ascii="Arial" w:hAnsi="Arial" w:cs="Arial"/>
          <w:b/>
          <w:bCs/>
          <w:spacing w:val="10"/>
          <w:sz w:val="20"/>
          <w:szCs w:val="20"/>
        </w:rPr>
      </w:pPr>
      <w:r w:rsidRPr="00056D15">
        <w:rPr>
          <w:rFonts w:ascii="Arial" w:hAnsi="Arial" w:cs="Arial"/>
          <w:b/>
          <w:bCs/>
          <w:spacing w:val="10"/>
          <w:sz w:val="20"/>
          <w:szCs w:val="20"/>
        </w:rPr>
        <w:t>Neuer Benchmark</w:t>
      </w:r>
    </w:p>
    <w:p w14:paraId="6838A724" w14:textId="60710D35" w:rsidR="00056D15" w:rsidRPr="00056D15" w:rsidRDefault="00056D15" w:rsidP="00056D15">
      <w:pPr>
        <w:spacing w:line="260" w:lineRule="exact"/>
        <w:rPr>
          <w:rFonts w:ascii="Arial" w:hAnsi="Arial" w:cs="Arial"/>
          <w:spacing w:val="10"/>
          <w:sz w:val="20"/>
          <w:szCs w:val="20"/>
        </w:rPr>
      </w:pPr>
    </w:p>
    <w:p w14:paraId="489318C9" w14:textId="08E653D5" w:rsidR="00FE60B8" w:rsidRPr="001F31AD" w:rsidRDefault="00056D15" w:rsidP="009605E6">
      <w:pPr>
        <w:spacing w:line="260" w:lineRule="exact"/>
        <w:rPr>
          <w:rFonts w:ascii="Arial" w:hAnsi="Arial" w:cs="Arial"/>
          <w:spacing w:val="10"/>
          <w:sz w:val="20"/>
          <w:szCs w:val="20"/>
          <w:shd w:val="clear" w:color="auto" w:fill="FFFFFF"/>
        </w:rPr>
      </w:pPr>
      <w:r w:rsidRPr="00056D15">
        <w:rPr>
          <w:rFonts w:ascii="Arial" w:hAnsi="Arial" w:cs="Arial"/>
          <w:spacing w:val="10"/>
          <w:sz w:val="20"/>
          <w:szCs w:val="20"/>
        </w:rPr>
        <w:t>Als hochperformante Erweiterung der XP</w:t>
      </w:r>
      <w:r w:rsidRPr="00056D15">
        <w:rPr>
          <w:rFonts w:ascii="Arial" w:hAnsi="Arial" w:cs="Arial"/>
          <w:spacing w:val="10"/>
          <w:sz w:val="20"/>
          <w:szCs w:val="20"/>
          <w:vertAlign w:val="superscript"/>
        </w:rPr>
        <w:t>+</w:t>
      </w:r>
      <w:r w:rsidRPr="00056D15">
        <w:rPr>
          <w:rFonts w:ascii="Arial" w:hAnsi="Arial" w:cs="Arial"/>
          <w:spacing w:val="10"/>
          <w:sz w:val="20"/>
          <w:szCs w:val="20"/>
        </w:rPr>
        <w:t>-Familie ist d</w:t>
      </w:r>
      <w:r w:rsidRPr="00056D15">
        <w:rPr>
          <w:rFonts w:ascii="Arial" w:hAnsi="Arial" w:cs="Arial"/>
          <w:spacing w:val="10"/>
          <w:sz w:val="20"/>
          <w:szCs w:val="20"/>
          <w:shd w:val="clear" w:color="auto" w:fill="FFFFFF"/>
        </w:rPr>
        <w:t>as Getriebe XP</w:t>
      </w:r>
      <w:r w:rsidRPr="00056D15">
        <w:rPr>
          <w:rFonts w:ascii="Arial" w:hAnsi="Arial" w:cs="Arial"/>
          <w:spacing w:val="10"/>
          <w:sz w:val="20"/>
          <w:szCs w:val="20"/>
          <w:shd w:val="clear" w:color="auto" w:fill="FFFFFF"/>
          <w:vertAlign w:val="superscript"/>
        </w:rPr>
        <w:t>+</w:t>
      </w:r>
      <w:r w:rsidR="003742EF">
        <w:rPr>
          <w:rFonts w:ascii="Arial" w:hAnsi="Arial" w:cs="Arial"/>
          <w:spacing w:val="10"/>
          <w:sz w:val="20"/>
          <w:szCs w:val="20"/>
          <w:shd w:val="clear" w:color="auto" w:fill="FFFFFF"/>
        </w:rPr>
        <w:t> </w:t>
      </w:r>
      <w:r>
        <w:rPr>
          <w:rFonts w:ascii="Arial" w:hAnsi="Arial" w:cs="Arial"/>
          <w:spacing w:val="10"/>
          <w:sz w:val="20"/>
          <w:szCs w:val="20"/>
          <w:shd w:val="clear" w:color="auto" w:fill="FFFFFF"/>
        </w:rPr>
        <w:t xml:space="preserve">HIGH TORQUE </w:t>
      </w:r>
      <w:r w:rsidRPr="00056D15">
        <w:rPr>
          <w:rFonts w:ascii="Arial" w:hAnsi="Arial" w:cs="Arial"/>
          <w:spacing w:val="10"/>
          <w:sz w:val="20"/>
          <w:szCs w:val="20"/>
          <w:shd w:val="clear" w:color="auto" w:fill="FFFFFF"/>
        </w:rPr>
        <w:t>auf höchste Präzision, Dynamik und Leistungsdichte in seiner Klasse ausgelegt – und gilt in den wesentlichen getriebetechnischen Disziplinen als Benchmark.</w:t>
      </w:r>
      <w:r>
        <w:rPr>
          <w:rFonts w:ascii="Arial" w:hAnsi="Arial" w:cs="Arial"/>
          <w:spacing w:val="10"/>
          <w:sz w:val="20"/>
          <w:szCs w:val="20"/>
          <w:shd w:val="clear" w:color="auto" w:fill="FFFFFF"/>
        </w:rPr>
        <w:t xml:space="preserve"> Es </w:t>
      </w:r>
      <w:r w:rsidR="00B626E9" w:rsidRPr="006F6CF5">
        <w:rPr>
          <w:rFonts w:ascii="Arial" w:hAnsi="Arial" w:cs="Arial"/>
          <w:spacing w:val="10"/>
          <w:sz w:val="20"/>
          <w:szCs w:val="20"/>
          <w:shd w:val="clear" w:color="auto" w:fill="FFFFFF"/>
        </w:rPr>
        <w:t>erreicht</w:t>
      </w:r>
      <w:r w:rsidRPr="006F6CF5">
        <w:rPr>
          <w:rFonts w:ascii="Arial" w:hAnsi="Arial" w:cs="Arial"/>
          <w:spacing w:val="10"/>
          <w:sz w:val="20"/>
          <w:szCs w:val="20"/>
          <w:shd w:val="clear" w:color="auto" w:fill="FFFFFF"/>
        </w:rPr>
        <w:t xml:space="preserve"> d</w:t>
      </w:r>
      <w:r>
        <w:rPr>
          <w:rFonts w:ascii="Arial" w:hAnsi="Arial" w:cs="Arial"/>
          <w:spacing w:val="10"/>
          <w:sz w:val="20"/>
          <w:szCs w:val="20"/>
          <w:shd w:val="clear" w:color="auto" w:fill="FFFFFF"/>
        </w:rPr>
        <w:t xml:space="preserve">eutlich höhere Prozess-, Vorschub- und Hebelkräfte, eröffnet zusätzliche Dynamikpotenziale und überzeugt durch eine nochmal verbesserte </w:t>
      </w:r>
      <w:r w:rsidR="00FE60B8">
        <w:rPr>
          <w:rFonts w:ascii="Arial" w:hAnsi="Arial" w:cs="Arial"/>
          <w:spacing w:val="10"/>
          <w:sz w:val="20"/>
          <w:szCs w:val="20"/>
          <w:shd w:val="clear" w:color="auto" w:fill="FFFFFF"/>
        </w:rPr>
        <w:t xml:space="preserve">Regelgüte, </w:t>
      </w:r>
      <w:r>
        <w:rPr>
          <w:rFonts w:ascii="Arial" w:hAnsi="Arial" w:cs="Arial"/>
          <w:spacing w:val="10"/>
          <w:sz w:val="20"/>
          <w:szCs w:val="20"/>
          <w:shd w:val="clear" w:color="auto" w:fill="FFFFFF"/>
        </w:rPr>
        <w:t xml:space="preserve">Präzision und Wiederholgenauigkeit beim Positionieren. </w:t>
      </w:r>
      <w:r w:rsidR="00FE60B8">
        <w:rPr>
          <w:rFonts w:ascii="Arial" w:hAnsi="Arial" w:cs="Arial"/>
          <w:spacing w:val="10"/>
          <w:sz w:val="20"/>
          <w:szCs w:val="20"/>
          <w:shd w:val="clear" w:color="auto" w:fill="FFFFFF"/>
        </w:rPr>
        <w:t xml:space="preserve">Dadurch </w:t>
      </w:r>
      <w:r w:rsidR="00B626E9" w:rsidRPr="006F6CF5">
        <w:rPr>
          <w:rFonts w:ascii="Arial" w:hAnsi="Arial" w:cs="Arial"/>
          <w:spacing w:val="10"/>
          <w:sz w:val="20"/>
          <w:szCs w:val="20"/>
          <w:shd w:val="clear" w:color="auto" w:fill="FFFFFF"/>
        </w:rPr>
        <w:t>sorgt</w:t>
      </w:r>
      <w:r w:rsidR="00FE60B8">
        <w:rPr>
          <w:rFonts w:ascii="Arial" w:hAnsi="Arial" w:cs="Arial"/>
          <w:spacing w:val="10"/>
          <w:sz w:val="20"/>
          <w:szCs w:val="20"/>
          <w:shd w:val="clear" w:color="auto" w:fill="FFFFFF"/>
        </w:rPr>
        <w:t xml:space="preserve"> es sowohl eine </w:t>
      </w:r>
      <w:r w:rsidR="00FE60B8" w:rsidRPr="00FE60B8">
        <w:rPr>
          <w:rFonts w:cs="Arial"/>
          <w:spacing w:val="10"/>
          <w:sz w:val="20"/>
          <w:szCs w:val="20"/>
        </w:rPr>
        <w:t xml:space="preserve">deutliche </w:t>
      </w:r>
      <w:r w:rsidR="00FE60B8" w:rsidRPr="00FE60B8">
        <w:rPr>
          <w:rFonts w:cs="Arial"/>
          <w:spacing w:val="10"/>
          <w:sz w:val="20"/>
          <w:szCs w:val="20"/>
        </w:rPr>
        <w:lastRenderedPageBreak/>
        <w:t xml:space="preserve">Performancesteigerung, die die Entwicklung von Maschinen mit neuen Leistungsdimensionen </w:t>
      </w:r>
      <w:r w:rsidR="00FE60B8" w:rsidRPr="006F6CF5">
        <w:rPr>
          <w:rFonts w:cs="Arial"/>
          <w:spacing w:val="10"/>
          <w:sz w:val="20"/>
          <w:szCs w:val="20"/>
        </w:rPr>
        <w:t xml:space="preserve">ermöglicht, </w:t>
      </w:r>
      <w:r w:rsidR="00FE60B8">
        <w:rPr>
          <w:rFonts w:cs="Arial"/>
          <w:spacing w:val="10"/>
          <w:sz w:val="20"/>
          <w:szCs w:val="20"/>
        </w:rPr>
        <w:t xml:space="preserve">als auch – durch die </w:t>
      </w:r>
      <w:r w:rsidR="00FE60B8" w:rsidRPr="00FE60B8">
        <w:rPr>
          <w:rFonts w:cs="Arial"/>
          <w:spacing w:val="10"/>
          <w:sz w:val="20"/>
          <w:szCs w:val="20"/>
        </w:rPr>
        <w:t>erhebliche</w:t>
      </w:r>
      <w:r w:rsidR="00FE60B8">
        <w:rPr>
          <w:rFonts w:cs="Arial"/>
          <w:spacing w:val="10"/>
          <w:sz w:val="20"/>
          <w:szCs w:val="20"/>
        </w:rPr>
        <w:t>n</w:t>
      </w:r>
      <w:r w:rsidR="00FE60B8" w:rsidRPr="00FE60B8">
        <w:rPr>
          <w:rFonts w:cs="Arial"/>
          <w:spacing w:val="10"/>
          <w:sz w:val="20"/>
          <w:szCs w:val="20"/>
        </w:rPr>
        <w:t xml:space="preserve"> Einsparpotenziale bei Bauraum und Gewicht </w:t>
      </w:r>
      <w:r w:rsidR="00FE60B8">
        <w:rPr>
          <w:rFonts w:cs="Arial"/>
          <w:spacing w:val="10"/>
          <w:sz w:val="20"/>
          <w:szCs w:val="20"/>
        </w:rPr>
        <w:t>–</w:t>
      </w:r>
      <w:r w:rsidR="00FE60B8" w:rsidRPr="00FE60B8">
        <w:rPr>
          <w:rFonts w:cs="Arial"/>
          <w:spacing w:val="10"/>
          <w:sz w:val="20"/>
          <w:szCs w:val="20"/>
        </w:rPr>
        <w:t xml:space="preserve"> ein konsequentes Downsizing von Antriebslösungen.</w:t>
      </w:r>
      <w:r w:rsidR="009605E6" w:rsidRPr="009605E6">
        <w:rPr>
          <w:rFonts w:cs="Arial"/>
          <w:sz w:val="28"/>
          <w:szCs w:val="28"/>
        </w:rPr>
        <w:t xml:space="preserve"> </w:t>
      </w:r>
      <w:r w:rsidR="009605E6" w:rsidRPr="009605E6">
        <w:rPr>
          <w:rFonts w:cs="Arial"/>
          <w:spacing w:val="10"/>
          <w:sz w:val="20"/>
          <w:szCs w:val="20"/>
        </w:rPr>
        <w:t>Das Verdrehspiel liegt – wie bei allen Getrieben des Premium-Segments von WITTENSTEIN alpha – über die gesamte Lebensdauer konstant unter einer Winkelminute.</w:t>
      </w:r>
    </w:p>
    <w:p w14:paraId="1D5114D1" w14:textId="4A985CBC" w:rsidR="004F6B4B" w:rsidRDefault="004F6B4B" w:rsidP="00FE60B8">
      <w:pPr>
        <w:spacing w:line="260" w:lineRule="exact"/>
        <w:rPr>
          <w:rFonts w:cs="Arial"/>
          <w:spacing w:val="10"/>
          <w:sz w:val="20"/>
          <w:szCs w:val="20"/>
        </w:rPr>
      </w:pPr>
    </w:p>
    <w:p w14:paraId="522A64B9" w14:textId="66812400" w:rsidR="004F6B4B" w:rsidRPr="004F6B4B" w:rsidRDefault="004F6B4B" w:rsidP="00FE60B8">
      <w:pPr>
        <w:spacing w:line="260" w:lineRule="exact"/>
        <w:rPr>
          <w:rFonts w:cs="Arial"/>
          <w:b/>
          <w:bCs/>
          <w:spacing w:val="10"/>
          <w:sz w:val="20"/>
          <w:szCs w:val="20"/>
        </w:rPr>
      </w:pPr>
      <w:r w:rsidRPr="004F6B4B">
        <w:rPr>
          <w:rFonts w:cs="Arial"/>
          <w:b/>
          <w:bCs/>
          <w:spacing w:val="10"/>
          <w:sz w:val="20"/>
          <w:szCs w:val="20"/>
        </w:rPr>
        <w:t>Industrie</w:t>
      </w:r>
      <w:r w:rsidR="00EA64F0">
        <w:rPr>
          <w:rFonts w:cs="Arial"/>
          <w:b/>
          <w:bCs/>
          <w:spacing w:val="10"/>
          <w:sz w:val="20"/>
          <w:szCs w:val="20"/>
        </w:rPr>
        <w:t xml:space="preserve"> </w:t>
      </w:r>
      <w:r w:rsidRPr="004F6B4B">
        <w:rPr>
          <w:rFonts w:cs="Arial"/>
          <w:b/>
          <w:bCs/>
          <w:spacing w:val="10"/>
          <w:sz w:val="20"/>
          <w:szCs w:val="20"/>
        </w:rPr>
        <w:t>4.0-Konnektivität integrier</w:t>
      </w:r>
      <w:r>
        <w:rPr>
          <w:rFonts w:cs="Arial"/>
          <w:b/>
          <w:bCs/>
          <w:spacing w:val="10"/>
          <w:sz w:val="20"/>
          <w:szCs w:val="20"/>
        </w:rPr>
        <w:t>bar</w:t>
      </w:r>
    </w:p>
    <w:p w14:paraId="4F44BF91" w14:textId="1B75EE60" w:rsidR="00FE60B8" w:rsidRDefault="00FE60B8" w:rsidP="00FE60B8">
      <w:pPr>
        <w:spacing w:line="260" w:lineRule="exact"/>
        <w:rPr>
          <w:rFonts w:cs="Arial"/>
          <w:spacing w:val="10"/>
          <w:sz w:val="20"/>
          <w:szCs w:val="20"/>
        </w:rPr>
      </w:pPr>
    </w:p>
    <w:p w14:paraId="335A11FB" w14:textId="11872604" w:rsidR="006438ED" w:rsidRDefault="004F6B4B" w:rsidP="00DC5E12">
      <w:pPr>
        <w:pStyle w:val="Flietext"/>
      </w:pPr>
      <w:r>
        <w:rPr>
          <w:shd w:val="clear" w:color="auto" w:fill="FFFFFF"/>
        </w:rPr>
        <w:t xml:space="preserve">Für die Integration in digitalisierte Maschinenachsen </w:t>
      </w:r>
      <w:r w:rsidR="00EA64F0">
        <w:rPr>
          <w:shd w:val="clear" w:color="auto" w:fill="FFFFFF"/>
        </w:rPr>
        <w:t xml:space="preserve">und vernetzte Produktionsumgebungen sowie </w:t>
      </w:r>
      <w:r w:rsidR="00B626E9">
        <w:rPr>
          <w:shd w:val="clear" w:color="auto" w:fill="FFFFFF"/>
        </w:rPr>
        <w:t>d</w:t>
      </w:r>
      <w:r w:rsidR="00EA64F0">
        <w:rPr>
          <w:shd w:val="clear" w:color="auto" w:fill="FFFFFF"/>
        </w:rPr>
        <w:t xml:space="preserve">ie </w:t>
      </w:r>
      <w:r>
        <w:rPr>
          <w:shd w:val="clear" w:color="auto" w:fill="FFFFFF"/>
        </w:rPr>
        <w:t>Nutzung digitaler Services zur Prozessüberwachung, Steigerung der Maschinenverfügbarkeit oder der vorausschauenden Feh</w:t>
      </w:r>
      <w:r w:rsidRPr="00EA64F0">
        <w:rPr>
          <w:shd w:val="clear" w:color="auto" w:fill="FFFFFF"/>
        </w:rPr>
        <w:t>lererkennung kann das XP</w:t>
      </w:r>
      <w:r w:rsidR="0020248E">
        <w:rPr>
          <w:shd w:val="clear" w:color="auto" w:fill="FFFFFF"/>
          <w:vertAlign w:val="superscript"/>
        </w:rPr>
        <w:t>+</w:t>
      </w:r>
      <w:r w:rsidRPr="00EA64F0">
        <w:rPr>
          <w:shd w:val="clear" w:color="auto" w:fill="FFFFFF"/>
        </w:rPr>
        <w:t xml:space="preserve"> HIGH TORQUE mit einem </w:t>
      </w:r>
      <w:r w:rsidR="003742EF">
        <w:rPr>
          <w:shd w:val="clear" w:color="auto" w:fill="FFFFFF"/>
        </w:rPr>
        <w:t xml:space="preserve">smarten </w:t>
      </w:r>
      <w:r w:rsidRPr="00EA64F0">
        <w:rPr>
          <w:shd w:val="clear" w:color="auto" w:fill="FFFFFF"/>
        </w:rPr>
        <w:t xml:space="preserve">cynapse-Modul ausgestattet werden. </w:t>
      </w:r>
      <w:r w:rsidR="00EA64F0" w:rsidRPr="00EA64F0">
        <w:t>Die neue Getriebebaureihe startet zunächst als Koaxial-Planetengetriebe in vier Baugröße, fünf verfügbaren Übersetzungen und drei Abtriebsformen. Weitere Varianten sind in Vorbereitung oder können auf Anfrage kundenspezifisch adaptiert werden.</w:t>
      </w:r>
      <w:r w:rsidR="00EA64F0">
        <w:t xml:space="preserve"> </w:t>
      </w:r>
      <w:r w:rsidR="00EA64F0" w:rsidRPr="00EA64F0">
        <w:rPr>
          <w:shd w:val="clear" w:color="auto" w:fill="FFFFFF"/>
        </w:rPr>
        <w:t xml:space="preserve">Für die applikationsgerechte Wahl der passenden Getriebeversion stehen die </w:t>
      </w:r>
      <w:r w:rsidR="00EA64F0" w:rsidRPr="00EA64F0">
        <w:t>Auslegungssoftware cymex</w:t>
      </w:r>
      <w:r w:rsidR="00EA64F0" w:rsidRPr="00EA64F0">
        <w:rPr>
          <w:vertAlign w:val="superscript"/>
        </w:rPr>
        <w:t>®</w:t>
      </w:r>
      <w:r w:rsidR="003742EF">
        <w:t> </w:t>
      </w:r>
      <w:r w:rsidR="00EA64F0" w:rsidRPr="00EA64F0">
        <w:t xml:space="preserve">5 von WITTENSTEIN alpha sowie </w:t>
      </w:r>
      <w:r w:rsidR="003742EF">
        <w:t xml:space="preserve">die </w:t>
      </w:r>
      <w:r w:rsidR="00EA64F0" w:rsidRPr="00EA64F0">
        <w:t>ingenieurtechnische Engineering-Expertise des Unternehmens zur Verfügung.</w:t>
      </w:r>
    </w:p>
    <w:p w14:paraId="37BAAFD1" w14:textId="77777777" w:rsidR="00B626E9" w:rsidRDefault="00B626E9" w:rsidP="00DC5E12">
      <w:pPr>
        <w:pStyle w:val="Flietext"/>
        <w:rPr>
          <w:b/>
          <w:color w:val="FF0000"/>
        </w:rPr>
      </w:pPr>
    </w:p>
    <w:p w14:paraId="7873F5CE" w14:textId="4F992C37" w:rsidR="006438ED" w:rsidRPr="00304B03" w:rsidRDefault="009B1AE5" w:rsidP="00DC5E12">
      <w:pPr>
        <w:pStyle w:val="Flietext"/>
        <w:rPr>
          <w:b/>
          <w:color w:val="auto"/>
        </w:rPr>
      </w:pPr>
      <w:r w:rsidRPr="00304B03">
        <w:rPr>
          <w:b/>
          <w:color w:val="auto"/>
        </w:rPr>
        <w:t>Bild:</w:t>
      </w:r>
    </w:p>
    <w:p w14:paraId="7564D03D" w14:textId="6B8675B9" w:rsidR="0093418D" w:rsidRPr="0017774B" w:rsidRDefault="00304B03" w:rsidP="00DC5E12">
      <w:pPr>
        <w:pStyle w:val="Flietext"/>
      </w:pPr>
      <w:r>
        <w:rPr>
          <w:b/>
          <w:noProof/>
          <w:color w:val="auto"/>
          <w:lang w:eastAsia="zh-CN"/>
        </w:rPr>
        <w:drawing>
          <wp:anchor distT="0" distB="0" distL="114300" distR="114300" simplePos="0" relativeHeight="251658240" behindDoc="1" locked="0" layoutInCell="1" allowOverlap="1" wp14:anchorId="040A9906" wp14:editId="38CBB6EB">
            <wp:simplePos x="0" y="0"/>
            <wp:positionH relativeFrom="margin">
              <wp:align>left</wp:align>
            </wp:positionH>
            <wp:positionV relativeFrom="paragraph">
              <wp:posOffset>118110</wp:posOffset>
            </wp:positionV>
            <wp:extent cx="1384300" cy="979170"/>
            <wp:effectExtent l="0" t="0" r="6350" b="0"/>
            <wp:wrapTight wrapText="bothSides">
              <wp:wrapPolygon edited="0">
                <wp:start x="0" y="0"/>
                <wp:lineTo x="0" y="21012"/>
                <wp:lineTo x="21402" y="21012"/>
                <wp:lineTo x="2140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XP-mit-cynaps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84300" cy="979170"/>
                    </a:xfrm>
                    <a:prstGeom prst="rect">
                      <a:avLst/>
                    </a:prstGeom>
                  </pic:spPr>
                </pic:pic>
              </a:graphicData>
            </a:graphic>
            <wp14:sizeRelH relativeFrom="margin">
              <wp14:pctWidth>0</wp14:pctWidth>
            </wp14:sizeRelH>
            <wp14:sizeRelV relativeFrom="margin">
              <wp14:pctHeight>0</wp14:pctHeight>
            </wp14:sizeRelV>
          </wp:anchor>
        </w:drawing>
      </w:r>
    </w:p>
    <w:p w14:paraId="1C29C057" w14:textId="77777777" w:rsidR="00304B03" w:rsidRDefault="00304B03" w:rsidP="00DC5E12">
      <w:pPr>
        <w:pStyle w:val="Flietext"/>
        <w:rPr>
          <w:sz w:val="18"/>
          <w:szCs w:val="18"/>
        </w:rPr>
      </w:pPr>
    </w:p>
    <w:p w14:paraId="018D480C" w14:textId="77777777" w:rsidR="00304B03" w:rsidRDefault="00304B03" w:rsidP="00DC5E12">
      <w:pPr>
        <w:pStyle w:val="Flietext"/>
        <w:rPr>
          <w:sz w:val="18"/>
          <w:szCs w:val="18"/>
        </w:rPr>
      </w:pPr>
    </w:p>
    <w:p w14:paraId="1636FD5E" w14:textId="77777777" w:rsidR="00304B03" w:rsidRDefault="00304B03" w:rsidP="00DC5E12">
      <w:pPr>
        <w:pStyle w:val="Flietext"/>
        <w:rPr>
          <w:sz w:val="18"/>
          <w:szCs w:val="18"/>
        </w:rPr>
      </w:pPr>
    </w:p>
    <w:p w14:paraId="5643D8AF" w14:textId="77777777" w:rsidR="00304B03" w:rsidRDefault="00304B03" w:rsidP="00DC5E12">
      <w:pPr>
        <w:pStyle w:val="Flietext"/>
        <w:rPr>
          <w:sz w:val="18"/>
          <w:szCs w:val="18"/>
        </w:rPr>
      </w:pPr>
    </w:p>
    <w:p w14:paraId="1B983667" w14:textId="77777777" w:rsidR="00304B03" w:rsidRDefault="00304B03" w:rsidP="00DC5E12">
      <w:pPr>
        <w:pStyle w:val="Flietext"/>
        <w:rPr>
          <w:sz w:val="18"/>
          <w:szCs w:val="18"/>
        </w:rPr>
      </w:pPr>
    </w:p>
    <w:p w14:paraId="108A03C0" w14:textId="77777777" w:rsidR="00304B03" w:rsidRDefault="00304B03" w:rsidP="00DC5E12">
      <w:pPr>
        <w:pStyle w:val="Flietext"/>
        <w:rPr>
          <w:sz w:val="18"/>
          <w:szCs w:val="18"/>
        </w:rPr>
      </w:pPr>
    </w:p>
    <w:p w14:paraId="2D38487D" w14:textId="63B8D3C0" w:rsidR="00304B03" w:rsidRDefault="00304B03" w:rsidP="00304B03">
      <w:pPr>
        <w:pStyle w:val="Flietext"/>
        <w:numPr>
          <w:ilvl w:val="0"/>
          <w:numId w:val="30"/>
        </w:numPr>
        <w:rPr>
          <w:bCs/>
        </w:rPr>
      </w:pPr>
      <w:r w:rsidRPr="00304B03">
        <w:rPr>
          <w:b/>
          <w:shd w:val="clear" w:color="auto" w:fill="FFFFFF"/>
        </w:rPr>
        <w:t>wittenste</w:t>
      </w:r>
      <w:r>
        <w:rPr>
          <w:b/>
          <w:shd w:val="clear" w:color="auto" w:fill="FFFFFF"/>
        </w:rPr>
        <w:t>i</w:t>
      </w:r>
      <w:r w:rsidR="001D0FA5">
        <w:rPr>
          <w:b/>
          <w:shd w:val="clear" w:color="auto" w:fill="FFFFFF"/>
        </w:rPr>
        <w:t>n-</w:t>
      </w:r>
      <w:r w:rsidRPr="00304B03">
        <w:rPr>
          <w:b/>
          <w:shd w:val="clear" w:color="auto" w:fill="FFFFFF"/>
        </w:rPr>
        <w:t>planetengetriebe-xp</w:t>
      </w:r>
      <w:r>
        <w:rPr>
          <w:b/>
          <w:shd w:val="clear" w:color="auto" w:fill="FFFFFF"/>
        </w:rPr>
        <w:t xml:space="preserve">: </w:t>
      </w:r>
      <w:r w:rsidRPr="00304B03">
        <w:rPr>
          <w:bCs/>
        </w:rPr>
        <w:t>Das neue Planetengetriebe XP</w:t>
      </w:r>
      <w:r w:rsidRPr="00304B03">
        <w:rPr>
          <w:bCs/>
          <w:vertAlign w:val="superscript"/>
        </w:rPr>
        <w:t>+</w:t>
      </w:r>
      <w:r w:rsidRPr="00304B03">
        <w:rPr>
          <w:bCs/>
        </w:rPr>
        <w:t xml:space="preserve"> HIGH TORQUE der alpha Premium line von WITTENSTEIN alpha</w:t>
      </w:r>
      <w:r>
        <w:rPr>
          <w:bCs/>
        </w:rPr>
        <w:t xml:space="preserve"> (Bildquelle: WITTENSTEIN SE)</w:t>
      </w:r>
    </w:p>
    <w:p w14:paraId="33A99365" w14:textId="497C41BC" w:rsidR="00304B03" w:rsidRPr="00304B03" w:rsidRDefault="00304B03" w:rsidP="00304B03">
      <w:pPr>
        <w:pStyle w:val="Flietext"/>
        <w:ind w:left="360"/>
        <w:rPr>
          <w:shd w:val="clear" w:color="auto" w:fill="FFFFFF"/>
        </w:rPr>
      </w:pPr>
    </w:p>
    <w:p w14:paraId="3F3E4323" w14:textId="77777777" w:rsidR="00304B03" w:rsidRDefault="00304B03" w:rsidP="00DC5E12">
      <w:pPr>
        <w:pStyle w:val="Flietext"/>
        <w:rPr>
          <w:sz w:val="18"/>
          <w:szCs w:val="18"/>
        </w:rPr>
      </w:pPr>
    </w:p>
    <w:p w14:paraId="3795B8B6" w14:textId="6D3FAF8A"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fldChar w:fldCharType="separate"/>
      </w:r>
      <w:r w:rsidR="00784580" w:rsidRPr="00093A75">
        <w:rPr>
          <w:rStyle w:val="Hyperlink"/>
          <w:sz w:val="18"/>
          <w:szCs w:val="18"/>
        </w:rPr>
        <w:t>presse.wittenstein.de</w:t>
      </w:r>
    </w:p>
    <w:p w14:paraId="05DBDE09" w14:textId="77777777" w:rsidR="0093418D" w:rsidRPr="0010111B" w:rsidRDefault="00093A75" w:rsidP="00DC5E12">
      <w:pPr>
        <w:pStyle w:val="Flietext"/>
        <w:rPr>
          <w:sz w:val="18"/>
        </w:rPr>
      </w:pPr>
      <w:r>
        <w:rPr>
          <w:sz w:val="18"/>
          <w:szCs w:val="18"/>
        </w:rPr>
        <w:fldChar w:fldCharType="end"/>
      </w:r>
    </w:p>
    <w:p w14:paraId="5EE1B06C" w14:textId="77777777" w:rsidR="0093418D" w:rsidRPr="0010111B" w:rsidRDefault="0093418D" w:rsidP="00DC5E12">
      <w:pPr>
        <w:pStyle w:val="Flietext"/>
        <w:rPr>
          <w:sz w:val="18"/>
          <w:szCs w:val="18"/>
        </w:rPr>
      </w:pPr>
    </w:p>
    <w:p w14:paraId="1339FF12" w14:textId="5E315AC3" w:rsidR="00D20BF8" w:rsidRDefault="00E41FF4" w:rsidP="00D20BF8">
      <w:pPr>
        <w:pStyle w:val="boilerplate"/>
        <w:rPr>
          <w:b/>
        </w:rPr>
      </w:pPr>
      <w:r w:rsidRPr="005258FF">
        <w:rPr>
          <w:b/>
        </w:rPr>
        <w:t>WITTENSTEIN SE</w:t>
      </w:r>
      <w:r w:rsidR="00D20BF8" w:rsidRPr="005258FF">
        <w:rPr>
          <w:b/>
        </w:rPr>
        <w:t xml:space="preserve"> – eins sein mit der Zukunft</w:t>
      </w:r>
    </w:p>
    <w:p w14:paraId="2673C7D4" w14:textId="5AD996A6" w:rsidR="003C3242" w:rsidRPr="005258FF" w:rsidRDefault="003C3242" w:rsidP="003C3242">
      <w:pPr>
        <w:spacing w:line="360" w:lineRule="auto"/>
        <w:rPr>
          <w:b/>
        </w:rPr>
      </w:pPr>
      <w:r w:rsidRPr="00F60746">
        <w:rPr>
          <w:rFonts w:ascii="Arial" w:hAnsi="Arial"/>
          <w:sz w:val="16"/>
        </w:rPr>
        <w:t>Mit weltweit rund 2.900 Mitarbeitern und einem Umsatz von 426,6 Mio. € im Geschäftsjahr 2019/20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r w:rsidRPr="005258FF">
        <w:rPr>
          <w:b/>
        </w:rPr>
        <w:t xml:space="preserve"> </w:t>
      </w:r>
    </w:p>
    <w:p w14:paraId="32FB153B" w14:textId="18F3AE23" w:rsidR="00D20BF8" w:rsidRPr="00D20BF8" w:rsidRDefault="00D20BF8" w:rsidP="00D20BF8">
      <w:pPr>
        <w:pStyle w:val="boilerplate"/>
      </w:pPr>
    </w:p>
    <w:sectPr w:rsidR="00D20BF8" w:rsidRPr="00D20BF8" w:rsidSect="00304B03">
      <w:headerReference w:type="default" r:id="rId8"/>
      <w:footerReference w:type="default" r:id="rId9"/>
      <w:headerReference w:type="first" r:id="rId10"/>
      <w:footerReference w:type="first" r:id="rId11"/>
      <w:pgSz w:w="11906" w:h="16838" w:code="9"/>
      <w:pgMar w:top="2410" w:right="3686" w:bottom="709"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17CC4" w14:textId="77777777" w:rsidR="00055519" w:rsidRDefault="00055519" w:rsidP="00551561">
      <w:pPr>
        <w:spacing w:line="240" w:lineRule="auto"/>
      </w:pPr>
      <w:r>
        <w:separator/>
      </w:r>
    </w:p>
  </w:endnote>
  <w:endnote w:type="continuationSeparator" w:id="0">
    <w:p w14:paraId="0DDF9101" w14:textId="77777777" w:rsidR="00055519" w:rsidRDefault="00055519"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A2C2D" w14:textId="3C6F74E6"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D978E8">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D978E8">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3BCFF" w14:textId="5E8BD1DA"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D978E8">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D978E8">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6949B" w14:textId="77777777" w:rsidR="00055519" w:rsidRDefault="00055519" w:rsidP="00551561">
      <w:pPr>
        <w:spacing w:line="240" w:lineRule="auto"/>
      </w:pPr>
      <w:r>
        <w:separator/>
      </w:r>
    </w:p>
  </w:footnote>
  <w:footnote w:type="continuationSeparator" w:id="0">
    <w:p w14:paraId="253C58E0" w14:textId="77777777" w:rsidR="00055519" w:rsidRDefault="00055519"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79D67"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41DE2CB8"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03666072"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098EB87B"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4347E99A"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38D98526"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0BD5D23B"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24EEE997"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7C841C9E"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734AE6A3"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1B7EE431"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6E04F1B5"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22C2806D" wp14:editId="1AC58AA6">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4EB998A6" w14:textId="77777777" w:rsidR="0093418D" w:rsidRDefault="0093418D" w:rsidP="0093418D"/>
  <w:p w14:paraId="412207B9" w14:textId="77777777" w:rsidR="0093418D" w:rsidRDefault="0093418D" w:rsidP="0093418D">
    <w:pPr>
      <w:pStyle w:val="Kopfzeile"/>
    </w:pPr>
  </w:p>
  <w:p w14:paraId="518F21DE" w14:textId="77777777" w:rsidR="0093418D" w:rsidRDefault="0093418D" w:rsidP="0093418D"/>
  <w:p w14:paraId="7B131D6F"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EA57" w14:textId="4F13B320" w:rsidR="00B674B2" w:rsidRPr="003801B9" w:rsidRDefault="00D978E8"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25</w:t>
    </w:r>
    <w:r w:rsidR="009B1AE5">
      <w:rPr>
        <w:rFonts w:ascii="Arial" w:hAnsi="Arial" w:cs="Arial"/>
        <w:sz w:val="14"/>
        <w:szCs w:val="14"/>
      </w:rPr>
      <w:t xml:space="preserve">. </w:t>
    </w:r>
    <w:r w:rsidR="00BB3EBA">
      <w:rPr>
        <w:rFonts w:ascii="Arial" w:hAnsi="Arial" w:cs="Arial"/>
        <w:sz w:val="14"/>
        <w:szCs w:val="14"/>
      </w:rPr>
      <w:t>Mai 2021</w:t>
    </w:r>
  </w:p>
  <w:p w14:paraId="1C94FF4C"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1B12CB79"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3B1491A9"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F24DCC9"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6436BD12"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3004245"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5BFB05AA"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815383A"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711AF15E"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31AA9D5C"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79638FC9" w14:textId="77777777" w:rsidR="00A22558" w:rsidRP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7B900927"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FBC162D"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DABA3AC"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CB2E9D5"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6C15CE2"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3150F09"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9EEAA4F"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4084A99"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D22CEBB"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B61E594"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5B12C2B"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8F83972"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C0C3BA"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F216CF8"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05E3AFC"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A09CE09"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531E5BF" w14:textId="77777777" w:rsidR="00A2255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64785E2" w14:textId="77777777" w:rsidR="00A22558" w:rsidRPr="00D20BF8" w:rsidRDefault="00A22558" w:rsidP="00304B03">
    <w:pPr>
      <w:framePr w:w="2445" w:h="3727"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60E82377" w14:textId="2B9E6BD1" w:rsidR="005756EF" w:rsidRPr="00304B03" w:rsidRDefault="00304B03" w:rsidP="00304B03">
    <w:pPr>
      <w:framePr w:w="2619" w:h="655" w:hSpace="142" w:wrap="around" w:vAnchor="page" w:hAnchor="page" w:x="8972" w:y="9154" w:anchorLock="1"/>
      <w:rPr>
        <w:rFonts w:ascii="Arial" w:hAnsi="Arial" w:cs="Arial"/>
        <w:sz w:val="14"/>
        <w:szCs w:val="14"/>
      </w:rPr>
    </w:pPr>
    <w:r w:rsidRPr="00304B03">
      <w:rPr>
        <w:rFonts w:ascii="Arial" w:hAnsi="Arial" w:cs="Arial"/>
        <w:sz w:val="14"/>
        <w:szCs w:val="14"/>
      </w:rPr>
      <w:t>Das neue Planetengetriebe XP+ HIGH TORQUE der alpha Premium line von WITTENSTEIN alpha</w:t>
    </w:r>
  </w:p>
  <w:p w14:paraId="44A56971"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18CAEC65"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2764CCDC" wp14:editId="786CD2F8">
          <wp:simplePos x="0" y="0"/>
          <wp:positionH relativeFrom="column">
            <wp:posOffset>4931410</wp:posOffset>
          </wp:positionH>
          <wp:positionV relativeFrom="page">
            <wp:posOffset>4643755</wp:posOffset>
          </wp:positionV>
          <wp:extent cx="1519555" cy="1074420"/>
          <wp:effectExtent l="0" t="0" r="4445" b="0"/>
          <wp:wrapTopAndBottom/>
          <wp:docPr id="16"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19555" cy="107442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530B553A" wp14:editId="19572C85">
              <wp:simplePos x="0" y="0"/>
              <wp:positionH relativeFrom="column">
                <wp:posOffset>2309495</wp:posOffset>
              </wp:positionH>
              <wp:positionV relativeFrom="page">
                <wp:posOffset>249555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01F9B67" id="Gruppieren 5" o:spid="_x0000_s1026" style="position:absolute;margin-left:181.85pt;margin-top:19.6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DNooSa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BDB9816"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1156CC"/>
    <w:multiLevelType w:val="hybridMultilevel"/>
    <w:tmpl w:val="CBD65326"/>
    <w:lvl w:ilvl="0" w:tplc="F860302E">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92D532F"/>
    <w:multiLevelType w:val="hybridMultilevel"/>
    <w:tmpl w:val="F5F08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0"/>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0"/>
  </w:num>
  <w:num w:numId="16">
    <w:abstractNumId w:val="28"/>
  </w:num>
  <w:num w:numId="17">
    <w:abstractNumId w:val="14"/>
  </w:num>
  <w:num w:numId="18">
    <w:abstractNumId w:val="23"/>
  </w:num>
  <w:num w:numId="19">
    <w:abstractNumId w:val="25"/>
  </w:num>
  <w:num w:numId="20">
    <w:abstractNumId w:val="11"/>
  </w:num>
  <w:num w:numId="21">
    <w:abstractNumId w:val="21"/>
  </w:num>
  <w:num w:numId="22">
    <w:abstractNumId w:val="29"/>
  </w:num>
  <w:num w:numId="23">
    <w:abstractNumId w:val="19"/>
  </w:num>
  <w:num w:numId="24">
    <w:abstractNumId w:val="27"/>
  </w:num>
  <w:num w:numId="25">
    <w:abstractNumId w:val="12"/>
  </w:num>
  <w:num w:numId="26">
    <w:abstractNumId w:val="16"/>
  </w:num>
  <w:num w:numId="27">
    <w:abstractNumId w:val="17"/>
  </w:num>
  <w:num w:numId="28">
    <w:abstractNumId w:val="18"/>
  </w:num>
  <w:num w:numId="29">
    <w:abstractNumId w:val="2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55519"/>
    <w:rsid w:val="00056D15"/>
    <w:rsid w:val="00093A75"/>
    <w:rsid w:val="0009490E"/>
    <w:rsid w:val="0010111B"/>
    <w:rsid w:val="001317C8"/>
    <w:rsid w:val="00174DE9"/>
    <w:rsid w:val="0017774B"/>
    <w:rsid w:val="0019670C"/>
    <w:rsid w:val="00196D4D"/>
    <w:rsid w:val="001B5B84"/>
    <w:rsid w:val="001C181D"/>
    <w:rsid w:val="001D0FA5"/>
    <w:rsid w:val="001F185D"/>
    <w:rsid w:val="001F31AD"/>
    <w:rsid w:val="0020248E"/>
    <w:rsid w:val="002108FB"/>
    <w:rsid w:val="00216485"/>
    <w:rsid w:val="00224615"/>
    <w:rsid w:val="002F40E5"/>
    <w:rsid w:val="00304B03"/>
    <w:rsid w:val="00311064"/>
    <w:rsid w:val="00321EB2"/>
    <w:rsid w:val="003742EF"/>
    <w:rsid w:val="003801B9"/>
    <w:rsid w:val="003B0DD5"/>
    <w:rsid w:val="003C3242"/>
    <w:rsid w:val="003E25F2"/>
    <w:rsid w:val="003F4F76"/>
    <w:rsid w:val="0040748A"/>
    <w:rsid w:val="00423092"/>
    <w:rsid w:val="004308A9"/>
    <w:rsid w:val="004B0CC2"/>
    <w:rsid w:val="004B5DB9"/>
    <w:rsid w:val="004C429A"/>
    <w:rsid w:val="004D07A3"/>
    <w:rsid w:val="004F6B4B"/>
    <w:rsid w:val="00502B7D"/>
    <w:rsid w:val="00515472"/>
    <w:rsid w:val="005258FF"/>
    <w:rsid w:val="0053585A"/>
    <w:rsid w:val="00551561"/>
    <w:rsid w:val="005756EF"/>
    <w:rsid w:val="005C09E4"/>
    <w:rsid w:val="00631774"/>
    <w:rsid w:val="006438ED"/>
    <w:rsid w:val="00651504"/>
    <w:rsid w:val="006716C1"/>
    <w:rsid w:val="00672959"/>
    <w:rsid w:val="0069402F"/>
    <w:rsid w:val="006B2B81"/>
    <w:rsid w:val="006F6CF5"/>
    <w:rsid w:val="00784580"/>
    <w:rsid w:val="00787015"/>
    <w:rsid w:val="007A364C"/>
    <w:rsid w:val="007D5EE7"/>
    <w:rsid w:val="007E1B3A"/>
    <w:rsid w:val="007F373B"/>
    <w:rsid w:val="00803E65"/>
    <w:rsid w:val="00831A05"/>
    <w:rsid w:val="00877EB9"/>
    <w:rsid w:val="0088602E"/>
    <w:rsid w:val="008B1946"/>
    <w:rsid w:val="008D220C"/>
    <w:rsid w:val="0093418D"/>
    <w:rsid w:val="00953B91"/>
    <w:rsid w:val="009605E6"/>
    <w:rsid w:val="00990DB4"/>
    <w:rsid w:val="00995F4C"/>
    <w:rsid w:val="009B1AE5"/>
    <w:rsid w:val="00A22558"/>
    <w:rsid w:val="00AD50A8"/>
    <w:rsid w:val="00AF69ED"/>
    <w:rsid w:val="00B06414"/>
    <w:rsid w:val="00B23BAB"/>
    <w:rsid w:val="00B27296"/>
    <w:rsid w:val="00B626E9"/>
    <w:rsid w:val="00B674B2"/>
    <w:rsid w:val="00BB3EBA"/>
    <w:rsid w:val="00BE5249"/>
    <w:rsid w:val="00BF5603"/>
    <w:rsid w:val="00C143E4"/>
    <w:rsid w:val="00C251C9"/>
    <w:rsid w:val="00C3208E"/>
    <w:rsid w:val="00C45C64"/>
    <w:rsid w:val="00C62472"/>
    <w:rsid w:val="00CD0E2F"/>
    <w:rsid w:val="00D20BF8"/>
    <w:rsid w:val="00D51188"/>
    <w:rsid w:val="00D7578B"/>
    <w:rsid w:val="00D978E8"/>
    <w:rsid w:val="00DB2CEB"/>
    <w:rsid w:val="00DC3644"/>
    <w:rsid w:val="00DC5E12"/>
    <w:rsid w:val="00DF442F"/>
    <w:rsid w:val="00DF7C12"/>
    <w:rsid w:val="00E25A17"/>
    <w:rsid w:val="00E41FF4"/>
    <w:rsid w:val="00E43C70"/>
    <w:rsid w:val="00E6035D"/>
    <w:rsid w:val="00E63DEB"/>
    <w:rsid w:val="00E645E8"/>
    <w:rsid w:val="00EA64F0"/>
    <w:rsid w:val="00EA6527"/>
    <w:rsid w:val="00EE24F4"/>
    <w:rsid w:val="00F007ED"/>
    <w:rsid w:val="00F035A4"/>
    <w:rsid w:val="00F31E55"/>
    <w:rsid w:val="00F41791"/>
    <w:rsid w:val="00F628B7"/>
    <w:rsid w:val="00F66C6B"/>
    <w:rsid w:val="00F97ED3"/>
    <w:rsid w:val="00FA20B6"/>
    <w:rsid w:val="00FA33C1"/>
    <w:rsid w:val="00FB2EB9"/>
    <w:rsid w:val="00FB3C96"/>
    <w:rsid w:val="00FD04AF"/>
    <w:rsid w:val="00FE60B8"/>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0F9E6C"/>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F66C6B"/>
    <w:rPr>
      <w:sz w:val="16"/>
      <w:szCs w:val="16"/>
    </w:rPr>
  </w:style>
  <w:style w:type="paragraph" w:styleId="Kommentartext">
    <w:name w:val="annotation text"/>
    <w:basedOn w:val="Standard"/>
    <w:link w:val="KommentartextZchn"/>
    <w:uiPriority w:val="99"/>
    <w:semiHidden/>
    <w:unhideWhenUsed/>
    <w:rsid w:val="00F66C6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66C6B"/>
    <w:rPr>
      <w:sz w:val="20"/>
      <w:szCs w:val="20"/>
    </w:rPr>
  </w:style>
  <w:style w:type="paragraph" w:styleId="Kommentarthema">
    <w:name w:val="annotation subject"/>
    <w:basedOn w:val="Kommentartext"/>
    <w:next w:val="Kommentartext"/>
    <w:link w:val="KommentarthemaZchn"/>
    <w:uiPriority w:val="99"/>
    <w:semiHidden/>
    <w:unhideWhenUsed/>
    <w:rsid w:val="00F66C6B"/>
    <w:rPr>
      <w:b/>
      <w:bCs/>
    </w:rPr>
  </w:style>
  <w:style w:type="character" w:customStyle="1" w:styleId="KommentarthemaZchn">
    <w:name w:val="Kommentarthema Zchn"/>
    <w:basedOn w:val="KommentartextZchn"/>
    <w:link w:val="Kommentarthema"/>
    <w:uiPriority w:val="99"/>
    <w:semiHidden/>
    <w:rsid w:val="00F66C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3960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8</cp:revision>
  <dcterms:created xsi:type="dcterms:W3CDTF">2021-05-12T10:53:00Z</dcterms:created>
  <dcterms:modified xsi:type="dcterms:W3CDTF">2021-05-25T08:44:00Z</dcterms:modified>
</cp:coreProperties>
</file>